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0C24" w:rsidRDefault="003F65FA">
      <w:pPr>
        <w:pBdr>
          <w:top w:val="nil"/>
          <w:left w:val="nil"/>
          <w:bottom w:val="nil"/>
          <w:right w:val="nil"/>
          <w:between w:val="nil"/>
        </w:pBdr>
        <w:spacing w:before="240" w:after="120"/>
        <w:ind w:hanging="567"/>
        <w:rPr>
          <w:b/>
          <w:sz w:val="28"/>
          <w:szCs w:val="28"/>
        </w:rPr>
      </w:pPr>
      <w:bookmarkStart w:id="0" w:name="_heading=h.gjdgxs" w:colFirst="0" w:colLast="0"/>
      <w:bookmarkEnd w:id="0"/>
      <w:r>
        <w:t xml:space="preserve"> </w:t>
      </w:r>
      <w:r>
        <w:rPr>
          <w:rFonts w:ascii="Arial" w:eastAsia="Arial" w:hAnsi="Arial" w:cs="Arial"/>
          <w:sz w:val="36"/>
          <w:szCs w:val="36"/>
        </w:rPr>
        <w:t xml:space="preserve">    </w:t>
      </w:r>
      <w:r>
        <w:rPr>
          <w:rFonts w:ascii="Arial" w:eastAsia="Arial" w:hAnsi="Arial" w:cs="Arial"/>
          <w:b/>
          <w:sz w:val="36"/>
          <w:szCs w:val="36"/>
        </w:rPr>
        <w:t>Order Schedule 9 (Security)</w:t>
      </w:r>
      <w:r>
        <w:rPr>
          <w:rFonts w:ascii="Arial" w:eastAsia="Arial" w:hAnsi="Arial" w:cs="Arial"/>
          <w:sz w:val="36"/>
          <w:szCs w:val="36"/>
        </w:rPr>
        <w:t xml:space="preserve">  </w:t>
      </w:r>
      <w:r>
        <w:t xml:space="preserve">   </w:t>
      </w:r>
    </w:p>
    <w:p w:rsidR="008A0C24" w:rsidRDefault="003F65FA">
      <w:pPr>
        <w:pBdr>
          <w:top w:val="nil"/>
          <w:left w:val="nil"/>
          <w:bottom w:val="nil"/>
          <w:right w:val="nil"/>
          <w:between w:val="nil"/>
        </w:pBdr>
        <w:spacing w:before="240" w:after="120"/>
        <w:ind w:hanging="567"/>
        <w:rPr>
          <w:rFonts w:ascii="Arial" w:eastAsia="Arial" w:hAnsi="Arial" w:cs="Arial"/>
          <w:b/>
          <w:color w:val="000000"/>
          <w:sz w:val="24"/>
          <w:szCs w:val="24"/>
        </w:rPr>
      </w:pPr>
      <w:r>
        <w:rPr>
          <w:rFonts w:ascii="Arial" w:eastAsia="Arial" w:hAnsi="Arial" w:cs="Arial"/>
          <w:b/>
          <w:color w:val="000000"/>
          <w:sz w:val="24"/>
          <w:szCs w:val="24"/>
        </w:rPr>
        <w:t>Part A: Short Form Security Requirements</w:t>
      </w:r>
    </w:p>
    <w:p w:rsidR="008A0C24" w:rsidRDefault="003F65FA">
      <w:pPr>
        <w:keepNext/>
        <w:numPr>
          <w:ilvl w:val="0"/>
          <w:numId w:val="3"/>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bookmarkStart w:id="1" w:name="_GoBack"/>
      <w:bookmarkEnd w:id="1"/>
      <w:r>
        <w:rPr>
          <w:rFonts w:ascii="Arial" w:eastAsia="Arial" w:hAnsi="Arial" w:cs="Arial"/>
          <w:b/>
          <w:smallCaps/>
          <w:color w:val="000000"/>
          <w:sz w:val="24"/>
          <w:szCs w:val="24"/>
        </w:rPr>
        <w:t>D</w:t>
      </w:r>
      <w:r>
        <w:rPr>
          <w:rFonts w:ascii="Arial" w:eastAsia="Arial" w:hAnsi="Arial" w:cs="Arial"/>
          <w:b/>
          <w:color w:val="000000"/>
          <w:sz w:val="24"/>
          <w:szCs w:val="24"/>
        </w:rPr>
        <w:t>efinitions</w:t>
      </w:r>
    </w:p>
    <w:p w:rsidR="008A0C24" w:rsidRDefault="003F65FA">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34" w:type="dxa"/>
        <w:tblInd w:w="1008" w:type="dxa"/>
        <w:tblLayout w:type="fixed"/>
        <w:tblLook w:val="0400" w:firstRow="0" w:lastRow="0" w:firstColumn="0" w:lastColumn="0" w:noHBand="0" w:noVBand="1"/>
      </w:tblPr>
      <w:tblGrid>
        <w:gridCol w:w="2502"/>
        <w:gridCol w:w="5732"/>
      </w:tblGrid>
      <w:tr w:rsidR="008A0C24">
        <w:tc>
          <w:tcPr>
            <w:tcW w:w="2502" w:type="dxa"/>
            <w:shd w:val="clear" w:color="auto" w:fill="auto"/>
          </w:tcPr>
          <w:p w:rsidR="008A0C24" w:rsidRDefault="003F65F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"Breach of Security"</w:t>
            </w:r>
          </w:p>
        </w:tc>
        <w:tc>
          <w:tcPr>
            <w:tcW w:w="5732" w:type="dxa"/>
            <w:shd w:val="clear" w:color="auto" w:fill="auto"/>
          </w:tcPr>
          <w:p w:rsidR="008A0C24" w:rsidRDefault="003F65FA">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occurrence of:</w:t>
            </w:r>
          </w:p>
          <w:p w:rsidR="008A0C24" w:rsidRDefault="003F65FA">
            <w:pPr>
              <w:numPr>
                <w:ilvl w:val="1"/>
                <w:numId w:val="1"/>
              </w:numPr>
              <w:pBdr>
                <w:top w:val="nil"/>
                <w:left w:val="nil"/>
                <w:bottom w:val="nil"/>
                <w:right w:val="nil"/>
                <w:between w:val="nil"/>
              </w:pBdr>
              <w:tabs>
                <w:tab w:val="left" w:pos="144"/>
              </w:tabs>
              <w:spacing w:after="120"/>
              <w:rPr>
                <w:rFonts w:ascii="Arial" w:eastAsia="Arial" w:hAnsi="Arial" w:cs="Arial"/>
                <w:color w:val="000000"/>
                <w:sz w:val="24"/>
                <w:szCs w:val="24"/>
              </w:rPr>
            </w:pPr>
            <w:r>
              <w:rPr>
                <w:rFonts w:ascii="Arial" w:eastAsia="Arial" w:hAnsi="Arial" w:cs="Arial"/>
                <w:color w:val="000000"/>
                <w:sz w:val="24"/>
                <w:szCs w:val="24"/>
              </w:rPr>
              <w:t>any unauthorised access to or use of the Goods or Services, the Sites and/or any Information and Communication Technology ("ICT"), information or data (including the Confidential Information and the Government Data) used by the Client and/or the Agency in connection with this Contract; and/or</w:t>
            </w:r>
          </w:p>
          <w:p w:rsidR="008A0C24" w:rsidRDefault="003F65FA">
            <w:pPr>
              <w:numPr>
                <w:ilvl w:val="1"/>
                <w:numId w:val="1"/>
              </w:numPr>
              <w:pBdr>
                <w:top w:val="nil"/>
                <w:left w:val="nil"/>
                <w:bottom w:val="nil"/>
                <w:right w:val="nil"/>
                <w:between w:val="nil"/>
              </w:pBdr>
              <w:tabs>
                <w:tab w:val="left" w:pos="144"/>
              </w:tabs>
              <w:spacing w:after="120"/>
              <w:rPr>
                <w:rFonts w:ascii="Arial" w:eastAsia="Arial" w:hAnsi="Arial" w:cs="Arial"/>
                <w:color w:val="000000"/>
                <w:sz w:val="24"/>
                <w:szCs w:val="24"/>
              </w:rPr>
            </w:pPr>
            <w:r>
              <w:rPr>
                <w:rFonts w:ascii="Arial" w:eastAsia="Arial" w:hAnsi="Arial" w:cs="Arial"/>
                <w:color w:val="000000"/>
                <w:sz w:val="24"/>
                <w:szCs w:val="24"/>
              </w:rPr>
              <w:t>the loss and/or unauthorised disclosure of any information or data (including the Confidential Information and the Government Data), including any copies of such information or data, used by the Client and/or the Agency in connection with this Contract,</w:t>
            </w:r>
          </w:p>
          <w:p w:rsidR="008A0C24" w:rsidRDefault="003F65FA">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in either case as more particularly set out in the Security Policy where the Client has required compliance therewith in accordance with paragraph 2.2;</w:t>
            </w:r>
          </w:p>
        </w:tc>
      </w:tr>
      <w:tr w:rsidR="008A0C24">
        <w:tc>
          <w:tcPr>
            <w:tcW w:w="2502" w:type="dxa"/>
            <w:shd w:val="clear" w:color="auto" w:fill="auto"/>
          </w:tcPr>
          <w:p w:rsidR="008A0C24" w:rsidRDefault="003F65F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 xml:space="preserve">"Security Management Plan" </w:t>
            </w:r>
          </w:p>
        </w:tc>
        <w:tc>
          <w:tcPr>
            <w:tcW w:w="5732" w:type="dxa"/>
            <w:shd w:val="clear" w:color="auto" w:fill="auto"/>
          </w:tcPr>
          <w:p w:rsidR="008A0C24" w:rsidRDefault="003F65FA">
            <w:pPr>
              <w:pBdr>
                <w:top w:val="nil"/>
                <w:left w:val="nil"/>
                <w:bottom w:val="nil"/>
                <w:right w:val="nil"/>
                <w:between w:val="nil"/>
              </w:pBdr>
              <w:tabs>
                <w:tab w:val="left" w:pos="-179"/>
              </w:tabs>
              <w:spacing w:after="120"/>
              <w:rPr>
                <w:rFonts w:ascii="Arial" w:eastAsia="Arial" w:hAnsi="Arial" w:cs="Arial"/>
                <w:color w:val="000000"/>
                <w:sz w:val="24"/>
                <w:szCs w:val="24"/>
              </w:rPr>
            </w:pPr>
            <w:r>
              <w:rPr>
                <w:rFonts w:ascii="Arial" w:eastAsia="Arial" w:hAnsi="Arial" w:cs="Arial"/>
                <w:color w:val="000000"/>
                <w:sz w:val="24"/>
                <w:szCs w:val="24"/>
              </w:rPr>
              <w:t>the Agency's security management plan prepared pursuant to this Schedule, a draft of which has been provided by the Agency to the Client and as updated from time to time.</w:t>
            </w:r>
          </w:p>
        </w:tc>
      </w:tr>
    </w:tbl>
    <w:p w:rsidR="008A0C24" w:rsidRDefault="003F65FA">
      <w:pPr>
        <w:keepNext/>
        <w:numPr>
          <w:ilvl w:val="0"/>
          <w:numId w:val="3"/>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color w:val="000000"/>
          <w:sz w:val="24"/>
          <w:szCs w:val="24"/>
        </w:rPr>
        <w:t>Complying with security requirements and updates to them</w:t>
      </w:r>
    </w:p>
    <w:p w:rsidR="008A0C24" w:rsidRDefault="003F65FA">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The Client and the Agency recognise that, where specified in DPS Schedule 4 (DPS Management), CCS shall have the right to enforce the Client's rights under this Schedule.</w:t>
      </w:r>
    </w:p>
    <w:p w:rsidR="008A0C24" w:rsidRDefault="003F65FA">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 xml:space="preserve">The Agency shall comply with the requirements in this Schedule in respect of the Security Management Plan. Where specified by a Client that has undertaken a Further Competition it shall also comply with the Security Policy and shall ensure that the Security Management Plan produced by the Agency fully complies with the Security Policy. </w:t>
      </w:r>
    </w:p>
    <w:p w:rsidR="008A0C24" w:rsidRDefault="003F65FA">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Where the Security Policy applies the Client shall notify the Agency of any changes or proposed changes to the Security Policy.</w:t>
      </w:r>
    </w:p>
    <w:p w:rsidR="008A0C24" w:rsidRDefault="003F65FA">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lastRenderedPageBreak/>
        <w:t>If the Agency believes that a change or proposed change to the Security Policy will have a material and unavoidable cost implication to the provision of the Goods or Services it may propose a Variation to the Client. In doing so, the Agency must support its request by providing evidence of the cause of any increased costs and the steps that it has taken to mitigate those costs.  Any change to the Charges shall be subject to the Variation Procedure.</w:t>
      </w:r>
    </w:p>
    <w:p w:rsidR="008A0C24" w:rsidRDefault="003F65FA">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Until and/or unless a change to the Charges is agreed by the Client pursuant to the Variation Procedure the Agency shall continue to provide the Goods or Services in accordance with its existing obligations.</w:t>
      </w:r>
    </w:p>
    <w:p w:rsidR="008A0C24" w:rsidRDefault="003F65FA">
      <w:pPr>
        <w:keepNext/>
        <w:numPr>
          <w:ilvl w:val="0"/>
          <w:numId w:val="3"/>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color w:val="000000"/>
          <w:sz w:val="24"/>
          <w:szCs w:val="24"/>
        </w:rPr>
        <w:t>Security Standards</w:t>
      </w:r>
    </w:p>
    <w:p w:rsidR="008A0C24" w:rsidRDefault="003F65FA">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The Agency acknowledges that the Client places great emphasis on the reliability of the performance of the Goods or Services, confidentiality, integrity and availability of information and consequently on security.</w:t>
      </w:r>
    </w:p>
    <w:p w:rsidR="008A0C24" w:rsidRDefault="003F65FA">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The Agency shall be responsible for the effective performance of its security obligations and shall at all times provide a level of security which:</w:t>
      </w:r>
    </w:p>
    <w:p w:rsidR="008A0C24" w:rsidRDefault="003F65FA">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is in accordance with the Law and this Contract; </w:t>
      </w:r>
    </w:p>
    <w:p w:rsidR="008A0C24" w:rsidRDefault="003F65FA">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as a minimum demonstrates Good Industry Practice;</w:t>
      </w:r>
    </w:p>
    <w:p w:rsidR="008A0C24" w:rsidRDefault="003F65FA">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meets any specific security threats of immediate relevance to the Goods or Services and/or the Government Data; and</w:t>
      </w:r>
    </w:p>
    <w:p w:rsidR="008A0C24" w:rsidRDefault="003F65FA">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where specified by the Client in accordance with paragraph 2.2 complies with the Security Policy and the ICT Policy.</w:t>
      </w:r>
      <w:r>
        <w:rPr>
          <w:rFonts w:ascii="Arial" w:eastAsia="Arial" w:hAnsi="Arial" w:cs="Arial"/>
          <w:sz w:val="24"/>
          <w:szCs w:val="24"/>
        </w:rPr>
        <w:t xml:space="preserve">     </w:t>
      </w:r>
    </w:p>
    <w:p w:rsidR="008A0C24" w:rsidRDefault="003F65FA">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Agency from time to time.</w:t>
      </w:r>
    </w:p>
    <w:p w:rsidR="008A0C24" w:rsidRDefault="003F65FA">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In the event of any inconsistency in the provisions of the above standards, guidance and policies, the Agency should notify the Client's Representative of such inconsistency immediately upon becoming aware of the same, and the Client's Representative shall, as soon as practicable, advise the Agency which provision the Agency shall be required to comply with.</w:t>
      </w:r>
    </w:p>
    <w:p w:rsidR="008A0C24" w:rsidRDefault="003F65FA">
      <w:pPr>
        <w:keepNext/>
        <w:numPr>
          <w:ilvl w:val="0"/>
          <w:numId w:val="3"/>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smallCaps/>
          <w:color w:val="000000"/>
          <w:sz w:val="24"/>
          <w:szCs w:val="24"/>
        </w:rPr>
        <w:t>S</w:t>
      </w:r>
      <w:r>
        <w:rPr>
          <w:rFonts w:ascii="Arial" w:eastAsia="Arial" w:hAnsi="Arial" w:cs="Arial"/>
          <w:b/>
          <w:color w:val="000000"/>
          <w:sz w:val="24"/>
          <w:szCs w:val="24"/>
        </w:rPr>
        <w:t>ecurity Management Plan</w:t>
      </w:r>
    </w:p>
    <w:p w:rsidR="008A0C24" w:rsidRDefault="003F65FA">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b/>
          <w:color w:val="000000"/>
        </w:rPr>
      </w:pPr>
      <w:r>
        <w:rPr>
          <w:rFonts w:ascii="Arial" w:eastAsia="Arial" w:hAnsi="Arial" w:cs="Arial"/>
          <w:b/>
          <w:color w:val="000000"/>
          <w:sz w:val="24"/>
          <w:szCs w:val="24"/>
        </w:rPr>
        <w:t>Introduction</w:t>
      </w:r>
    </w:p>
    <w:p w:rsidR="008A0C24" w:rsidRDefault="003F65FA">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Agency shall develop and maintain a Security Management Plan in accordance with this Schedule. The Agency shall thereafter comply with its obligations set out in the Security Management Plan.</w:t>
      </w:r>
    </w:p>
    <w:p w:rsidR="008A0C24" w:rsidRDefault="003F65FA">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b/>
          <w:color w:val="000000"/>
        </w:rPr>
      </w:pPr>
      <w:r>
        <w:rPr>
          <w:rFonts w:ascii="Arial" w:eastAsia="Arial" w:hAnsi="Arial" w:cs="Arial"/>
          <w:b/>
          <w:color w:val="000000"/>
          <w:sz w:val="24"/>
          <w:szCs w:val="24"/>
        </w:rPr>
        <w:t>Content of the Security Management Plan</w:t>
      </w:r>
    </w:p>
    <w:p w:rsidR="008A0C24" w:rsidRDefault="003F65FA">
      <w:pPr>
        <w:keepNext/>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Security Management Plan shall:</w:t>
      </w:r>
    </w:p>
    <w:p w:rsidR="008A0C24" w:rsidRDefault="003F65FA">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comply with the principles of security set out in Paragraph 3 and any other provisions of this Contract relevant to security;</w:t>
      </w:r>
    </w:p>
    <w:p w:rsidR="008A0C24" w:rsidRDefault="003F65FA">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identify the necessary delegated organisational roles for those responsible for ensuring it is complied with by the Agency;</w:t>
      </w:r>
    </w:p>
    <w:p w:rsidR="008A0C24" w:rsidRDefault="003F65FA">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lastRenderedPageBreak/>
        <w:t xml:space="preserve">   </w:t>
      </w:r>
      <w:r>
        <w:rPr>
          <w:rFonts w:ascii="Arial" w:eastAsia="Arial" w:hAnsi="Arial" w:cs="Arial"/>
          <w:color w:val="000000"/>
          <w:sz w:val="24"/>
          <w:szCs w:val="24"/>
        </w:rPr>
        <w:t>detail the process for managing any security risks from Subcontractors and third parties authorised by the Client with access to the Goods or Services, processes associated with the provision of the Goods or Services, the Client Premises, the Sites and any ICT, Information and data (including the Client’s Confidential Information and the Government Data) and any system that could directly or indirectly have an impact on that Information, data and/or the Goods or Services;</w:t>
      </w:r>
    </w:p>
    <w:p w:rsidR="008A0C24" w:rsidRDefault="003F65FA">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be developed to protect all aspects of the Goods or Services and all processes associated with the provision of the Goods or Services, including the Client Premises, the Sites, and any ICT, Information and data (including the Client’s Confidential Information and the Government Data) to the extent used by the Client or the Agency in connection with this Contract or in connection with any system that could directly or indirectly have an impact on that Information, data and/or the Goods or Services;</w:t>
      </w:r>
    </w:p>
    <w:p w:rsidR="008A0C24" w:rsidRDefault="003F65FA">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set out the security measures to be implemented and maintained by the Agency in relation to all aspects of the Goods or Services and all processes associated with the provision of the Goods and/or Services and shall at all times comply with and specify security measures and procedures which are sufficient to ensure that the Goods or Services comply with the provisions of this Contract;</w:t>
      </w:r>
    </w:p>
    <w:p w:rsidR="008A0C24" w:rsidRDefault="003F65FA">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set out the plans for transitioning all security arrangements and responsibilities for the Agency to meet the full obligations of the security requirements set out in this Contract and, where necessary in accordance with paragraph 2.2 the Security Policy; and</w:t>
      </w:r>
    </w:p>
    <w:p w:rsidR="008A0C24" w:rsidRDefault="003F65FA">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be written in plain English in language which is readily comprehensible to the staff of the Agency and the Client engaged in the provision of the Goods or Services and shall only reference documents which are in the possession of the Parties or whose location is otherwise specified in this Schedule.</w:t>
      </w:r>
    </w:p>
    <w:p w:rsidR="008A0C24" w:rsidRDefault="003F65FA">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b/>
          <w:color w:val="000000"/>
        </w:rPr>
      </w:pPr>
      <w:r>
        <w:rPr>
          <w:rFonts w:ascii="Arial" w:eastAsia="Arial" w:hAnsi="Arial" w:cs="Arial"/>
          <w:b/>
          <w:color w:val="000000"/>
          <w:sz w:val="24"/>
          <w:szCs w:val="24"/>
        </w:rPr>
        <w:t>Development of the Security Management Plan</w:t>
      </w:r>
    </w:p>
    <w:p w:rsidR="008A0C24" w:rsidRDefault="003F65FA">
      <w:pPr>
        <w:numPr>
          <w:ilvl w:val="2"/>
          <w:numId w:val="3"/>
        </w:numPr>
        <w:pBdr>
          <w:top w:val="nil"/>
          <w:left w:val="nil"/>
          <w:bottom w:val="nil"/>
          <w:right w:val="nil"/>
          <w:between w:val="nil"/>
        </w:pBdr>
        <w:tabs>
          <w:tab w:val="left" w:pos="1985"/>
          <w:tab w:val="left" w:pos="2127"/>
        </w:tabs>
        <w:spacing w:before="120" w:after="120" w:line="240" w:lineRule="auto"/>
        <w:ind w:left="1620"/>
        <w:rPr>
          <w:color w:val="000000"/>
          <w:sz w:val="24"/>
          <w:szCs w:val="24"/>
        </w:rPr>
      </w:pPr>
      <w:r>
        <w:rPr>
          <w:rFonts w:ascii="Arial" w:eastAsia="Arial" w:hAnsi="Arial" w:cs="Arial"/>
          <w:color w:val="000000"/>
          <w:sz w:val="24"/>
          <w:szCs w:val="24"/>
        </w:rPr>
        <w:t>Within twenty (20)</w:t>
      </w:r>
      <w:r>
        <w:rPr>
          <w:rFonts w:ascii="Arial" w:eastAsia="Arial" w:hAnsi="Arial" w:cs="Arial"/>
          <w:b/>
          <w:color w:val="000000"/>
          <w:sz w:val="24"/>
          <w:szCs w:val="24"/>
        </w:rPr>
        <w:t xml:space="preserve"> </w:t>
      </w:r>
      <w:r>
        <w:rPr>
          <w:rFonts w:ascii="Arial" w:eastAsia="Arial" w:hAnsi="Arial" w:cs="Arial"/>
          <w:color w:val="000000"/>
          <w:sz w:val="24"/>
          <w:szCs w:val="24"/>
        </w:rPr>
        <w:t xml:space="preserve">Working Days after the Start Date and in accordance with Paragraph 4.4, the Agency shall prepare and deliver to the Client for Approval a fully complete and up to date Security Management Plan which will be based on the draft Security Management Plan. </w:t>
      </w:r>
    </w:p>
    <w:p w:rsidR="008A0C24" w:rsidRDefault="003F65FA">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If the Security Management Plan submitted to the Client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Agency shall amend it within ten (10) Working </w:t>
      </w:r>
      <w:r>
        <w:rPr>
          <w:rFonts w:ascii="Arial" w:eastAsia="Arial" w:hAnsi="Arial" w:cs="Arial"/>
          <w:color w:val="000000"/>
          <w:sz w:val="24"/>
          <w:szCs w:val="24"/>
        </w:rPr>
        <w:lastRenderedPageBreak/>
        <w:t xml:space="preserve">Days of a notice of non-approval from the Client and re-submit to the Client for Approval.  The Parties will use all reasonable endeavours to ensure that the approval process takes as little time as possible </w:t>
      </w:r>
      <w:r w:rsidR="00340E4F">
        <w:rPr>
          <w:rFonts w:ascii="Arial" w:eastAsia="Arial" w:hAnsi="Arial" w:cs="Arial"/>
          <w:color w:val="000000"/>
          <w:sz w:val="24"/>
          <w:szCs w:val="24"/>
        </w:rPr>
        <w:t>and, in any event,</w:t>
      </w:r>
      <w:r>
        <w:rPr>
          <w:rFonts w:ascii="Arial" w:eastAsia="Arial" w:hAnsi="Arial" w:cs="Arial"/>
          <w:color w:val="000000"/>
          <w:sz w:val="24"/>
          <w:szCs w:val="24"/>
        </w:rPr>
        <w:t xml:space="preserve"> no longer than fifteen (15) Working Days from the date of its first submission to the Client.  If the Client does not approve the Security Management Plan following its resubmission, the matter will be resolved in accordance with the Dispute Resolution Procedure. </w:t>
      </w:r>
    </w:p>
    <w:p w:rsidR="008A0C24" w:rsidRDefault="003F65FA">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The Client shall not unreasonably withhold or delay its decision to Approve or not the Security Management Plan pursuant to Paragraph 4.3.2.  </w:t>
      </w:r>
      <w:r w:rsidR="00340E4F">
        <w:rPr>
          <w:rFonts w:ascii="Arial" w:eastAsia="Arial" w:hAnsi="Arial" w:cs="Arial"/>
          <w:color w:val="000000"/>
          <w:sz w:val="24"/>
          <w:szCs w:val="24"/>
        </w:rPr>
        <w:t>However,</w:t>
      </w:r>
      <w:r>
        <w:rPr>
          <w:rFonts w:ascii="Arial" w:eastAsia="Arial" w:hAnsi="Arial" w:cs="Arial"/>
          <w:color w:val="000000"/>
          <w:sz w:val="24"/>
          <w:szCs w:val="24"/>
        </w:rPr>
        <w:t xml:space="preserve"> a refusal by the Client to Approve the Security Management Plan on the grounds that it does not comply with the requirements set out in Paragraph 4.2 shall be deemed to be reasonable.</w:t>
      </w:r>
    </w:p>
    <w:p w:rsidR="008A0C24" w:rsidRDefault="003F65FA">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Approval by the Client of the Security Management Plan pursuant to Paragraph 4.3.2 or of any change to the Security Management Plan in accordance with Paragraph 4.4 shall not relieve the Agency of its obligations under this Schedule. </w:t>
      </w:r>
    </w:p>
    <w:p w:rsidR="008A0C24" w:rsidRDefault="003F65FA">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b/>
          <w:color w:val="000000"/>
        </w:rPr>
      </w:pPr>
      <w:r>
        <w:rPr>
          <w:rFonts w:ascii="Arial" w:eastAsia="Arial" w:hAnsi="Arial" w:cs="Arial"/>
          <w:b/>
          <w:color w:val="000000"/>
          <w:sz w:val="24"/>
          <w:szCs w:val="24"/>
        </w:rPr>
        <w:t>Amendment of the Security Management Plan</w:t>
      </w:r>
    </w:p>
    <w:p w:rsidR="008A0C24" w:rsidRDefault="003F65FA">
      <w:pPr>
        <w:keepNext/>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Security Management Plan shall be fully reviewed and updated by the Agency at least annually to reflect:</w:t>
      </w:r>
    </w:p>
    <w:p w:rsidR="008A0C24" w:rsidRDefault="003F65FA">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color w:val="000000"/>
          <w:sz w:val="24"/>
          <w:szCs w:val="24"/>
        </w:rPr>
        <w:t>emerging changes in Good Industry Practice;</w:t>
      </w:r>
    </w:p>
    <w:p w:rsidR="008A0C24" w:rsidRDefault="003F65FA">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color w:val="000000"/>
          <w:sz w:val="24"/>
          <w:szCs w:val="24"/>
        </w:rPr>
        <w:t xml:space="preserve">any change or proposed change to the Goods or Services and/or associated processes; </w:t>
      </w:r>
    </w:p>
    <w:p w:rsidR="008A0C24" w:rsidRDefault="003F65FA">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color w:val="000000"/>
          <w:sz w:val="24"/>
          <w:szCs w:val="24"/>
        </w:rPr>
        <w:t xml:space="preserve">where necessary in accordance with paragraph 2.2, any change to the Security Policy; </w:t>
      </w:r>
    </w:p>
    <w:p w:rsidR="008A0C24" w:rsidRDefault="003F65FA">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color w:val="000000"/>
          <w:sz w:val="24"/>
          <w:szCs w:val="24"/>
        </w:rPr>
        <w:t>any new perceived or changed security threats; and</w:t>
      </w:r>
    </w:p>
    <w:p w:rsidR="008A0C24" w:rsidRDefault="003F65FA">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color w:val="000000"/>
          <w:sz w:val="24"/>
          <w:szCs w:val="24"/>
        </w:rPr>
        <w:t>any reasonable change in requirements requested by the Client.</w:t>
      </w:r>
    </w:p>
    <w:p w:rsidR="008A0C24" w:rsidRDefault="003F65FA">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Agency shall provide the Client with the results of such reviews as soon as reasonably practicable after their completion and amendment of the Security Management Plan at no additional cost to the Client. The results of the review shall include, without limitation:</w:t>
      </w:r>
    </w:p>
    <w:p w:rsidR="008A0C24" w:rsidRDefault="003F65FA">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suggested improvements to the effectiveness of the Security Management Plan;</w:t>
      </w:r>
    </w:p>
    <w:p w:rsidR="008A0C24" w:rsidRDefault="003F65FA">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updates to the risk assessments; and</w:t>
      </w:r>
    </w:p>
    <w:p w:rsidR="008A0C24" w:rsidRDefault="003F65FA">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suggested improvements in measuring the effectiveness of controls.</w:t>
      </w:r>
    </w:p>
    <w:p w:rsidR="008A0C24" w:rsidRDefault="003F65FA">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Subject to Paragraph 4.4.4, any change or amendment which the Agency proposes to make to the Security Management Plan (as a result of a review carried out in accordance with Paragraph 4.4.1, a request by the Client or otherwise) shall be subject to the Variation Procedure.</w:t>
      </w:r>
    </w:p>
    <w:p w:rsidR="008A0C24" w:rsidRDefault="003F65FA">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The Client may, acting reasonably, Approve and require changes or amendments to the Security Management Plan to be implemented on </w:t>
      </w:r>
      <w:r>
        <w:rPr>
          <w:rFonts w:ascii="Arial" w:eastAsia="Arial" w:hAnsi="Arial" w:cs="Arial"/>
          <w:color w:val="000000"/>
          <w:sz w:val="24"/>
          <w:szCs w:val="24"/>
        </w:rPr>
        <w:lastRenderedPageBreak/>
        <w:t>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8A0C24" w:rsidRDefault="003F65FA">
      <w:pPr>
        <w:keepNext/>
        <w:numPr>
          <w:ilvl w:val="0"/>
          <w:numId w:val="3"/>
        </w:numPr>
        <w:pBdr>
          <w:top w:val="nil"/>
          <w:left w:val="nil"/>
          <w:bottom w:val="nil"/>
          <w:right w:val="nil"/>
          <w:between w:val="nil"/>
        </w:pBdr>
        <w:tabs>
          <w:tab w:val="left" w:pos="0"/>
        </w:tabs>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Security breach</w:t>
      </w:r>
    </w:p>
    <w:p w:rsidR="008A0C24" w:rsidRDefault="003F65FA">
      <w:pPr>
        <w:numPr>
          <w:ilvl w:val="1"/>
          <w:numId w:val="3"/>
        </w:numPr>
        <w:tabs>
          <w:tab w:val="left" w:pos="144"/>
        </w:tabs>
        <w:spacing w:after="120" w:line="240" w:lineRule="auto"/>
        <w:ind w:left="544" w:hanging="544"/>
        <w:jc w:val="both"/>
        <w:rPr>
          <w:rFonts w:ascii="Arial" w:eastAsia="Arial" w:hAnsi="Arial" w:cs="Arial"/>
        </w:rPr>
      </w:pPr>
      <w:r>
        <w:rPr>
          <w:rFonts w:ascii="Arial" w:eastAsia="Arial" w:hAnsi="Arial" w:cs="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rsidR="008A0C24" w:rsidRDefault="003F65FA">
      <w:pPr>
        <w:numPr>
          <w:ilvl w:val="1"/>
          <w:numId w:val="3"/>
        </w:numPr>
        <w:tabs>
          <w:tab w:val="left" w:pos="144"/>
        </w:tabs>
        <w:spacing w:after="120" w:line="240" w:lineRule="auto"/>
        <w:ind w:left="544" w:hanging="544"/>
        <w:jc w:val="both"/>
        <w:rPr>
          <w:rFonts w:ascii="Arial" w:eastAsia="Arial" w:hAnsi="Arial" w:cs="Arial"/>
        </w:rPr>
      </w:pPr>
      <w:r>
        <w:rPr>
          <w:rFonts w:ascii="Arial" w:eastAsia="Arial" w:hAnsi="Arial" w:cs="Arial"/>
          <w:sz w:val="24"/>
          <w:szCs w:val="24"/>
        </w:rPr>
        <w:t>Without prejudice to the security incident management process, upon becoming aware of any of the circumstances referred to in Paragraph 5.1, the Agency shall:</w:t>
      </w:r>
    </w:p>
    <w:p w:rsidR="008A0C24" w:rsidRDefault="003F65FA">
      <w:pPr>
        <w:numPr>
          <w:ilvl w:val="2"/>
          <w:numId w:val="3"/>
        </w:numPr>
        <w:pBdr>
          <w:top w:val="nil"/>
          <w:left w:val="nil"/>
          <w:bottom w:val="nil"/>
          <w:right w:val="nil"/>
          <w:between w:val="nil"/>
        </w:pBdr>
        <w:tabs>
          <w:tab w:val="left" w:pos="1985"/>
          <w:tab w:val="left" w:pos="2127"/>
        </w:tabs>
        <w:spacing w:before="120" w:after="120" w:line="240" w:lineRule="auto"/>
        <w:ind w:left="1571"/>
        <w:rPr>
          <w:rFonts w:ascii="Arial" w:eastAsia="Arial" w:hAnsi="Arial" w:cs="Arial"/>
          <w:color w:val="000000"/>
          <w:sz w:val="24"/>
          <w:szCs w:val="24"/>
        </w:rPr>
      </w:pPr>
      <w:r>
        <w:rPr>
          <w:rFonts w:ascii="Arial" w:eastAsia="Arial" w:hAnsi="Arial" w:cs="Arial"/>
          <w:color w:val="000000"/>
          <w:sz w:val="24"/>
          <w:szCs w:val="24"/>
        </w:rPr>
        <w:t>immediately take all reasonable steps (which shall include any action or changes reasonably required by the Client) necessary to:</w:t>
      </w:r>
    </w:p>
    <w:p w:rsidR="008A0C24" w:rsidRDefault="003F65FA">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minimise the extent of actual or potential harm caused by any Breach of Security;</w:t>
      </w:r>
    </w:p>
    <w:p w:rsidR="008A0C24" w:rsidRDefault="003F65FA">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 xml:space="preserve">remedy such Breach of Security to the extent possible and protect the integrity of the Client and the provision of the Goods and/or Services to the extent within its control against any such Breach of Security or attempted Breach of Security; </w:t>
      </w:r>
    </w:p>
    <w:p w:rsidR="008A0C24" w:rsidRDefault="003F65FA">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prevent an equivalent breach in the future exploiting the same cause failure; and</w:t>
      </w:r>
    </w:p>
    <w:p w:rsidR="008A0C24" w:rsidRDefault="003F65FA">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as soon as reasonably practicable provide to the Client, where the Client so requests, full details (using the reporting mechanism defined by the Security Management Plan) of the Breach of Security or attempted Breach of Security, including a cause analysis where required by the Client.</w:t>
      </w:r>
    </w:p>
    <w:p w:rsidR="008A0C24" w:rsidRDefault="003F65FA">
      <w:pPr>
        <w:numPr>
          <w:ilvl w:val="1"/>
          <w:numId w:val="3"/>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rPr>
      </w:pPr>
      <w:r>
        <w:rPr>
          <w:rFonts w:ascii="Arial" w:eastAsia="Arial" w:hAnsi="Arial" w:cs="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Client. </w:t>
      </w:r>
    </w:p>
    <w:p w:rsidR="008A0C24" w:rsidRDefault="008A0C24">
      <w:pPr>
        <w:pBdr>
          <w:top w:val="nil"/>
          <w:left w:val="nil"/>
          <w:bottom w:val="nil"/>
          <w:right w:val="nil"/>
          <w:between w:val="nil"/>
        </w:pBdr>
        <w:tabs>
          <w:tab w:val="left" w:pos="0"/>
        </w:tabs>
        <w:spacing w:before="240"/>
        <w:ind w:left="360" w:hanging="360"/>
        <w:rPr>
          <w:rFonts w:ascii="Arial" w:eastAsia="Arial" w:hAnsi="Arial" w:cs="Arial"/>
          <w:sz w:val="24"/>
          <w:szCs w:val="24"/>
        </w:rPr>
      </w:pPr>
    </w:p>
    <w:p w:rsidR="008A0C24" w:rsidRDefault="003F65FA">
      <w:pPr>
        <w:rPr>
          <w:rFonts w:ascii="Arial" w:eastAsia="Arial" w:hAnsi="Arial" w:cs="Arial"/>
          <w:sz w:val="24"/>
          <w:szCs w:val="24"/>
        </w:rPr>
      </w:pPr>
      <w:r>
        <w:br w:type="page"/>
      </w:r>
    </w:p>
    <w:p w:rsidR="008A0C24" w:rsidRDefault="003F65FA">
      <w:pPr>
        <w:pBdr>
          <w:top w:val="nil"/>
          <w:left w:val="nil"/>
          <w:bottom w:val="nil"/>
          <w:right w:val="nil"/>
          <w:between w:val="nil"/>
        </w:pBdr>
        <w:rPr>
          <w:rFonts w:ascii="Arial" w:eastAsia="Arial" w:hAnsi="Arial" w:cs="Arial"/>
          <w:b/>
          <w:color w:val="000000"/>
          <w:sz w:val="24"/>
          <w:szCs w:val="24"/>
        </w:rPr>
      </w:pPr>
      <w:r>
        <w:rPr>
          <w:rFonts w:ascii="Arial" w:eastAsia="Arial" w:hAnsi="Arial" w:cs="Arial"/>
          <w:b/>
          <w:color w:val="000000"/>
          <w:sz w:val="24"/>
          <w:szCs w:val="24"/>
        </w:rPr>
        <w:lastRenderedPageBreak/>
        <w:t>Part B – A</w:t>
      </w:r>
      <w:bookmarkStart w:id="2" w:name="bookmark=id.3tbugp1" w:colFirst="0" w:colLast="0"/>
      <w:bookmarkEnd w:id="2"/>
      <w:r>
        <w:rPr>
          <w:rFonts w:ascii="Arial" w:eastAsia="Arial" w:hAnsi="Arial" w:cs="Arial"/>
          <w:b/>
          <w:color w:val="000000"/>
          <w:sz w:val="24"/>
          <w:szCs w:val="24"/>
        </w:rPr>
        <w:t xml:space="preserve">nnex 1: </w:t>
      </w:r>
    </w:p>
    <w:p w:rsidR="008A0C24" w:rsidRDefault="003F65FA">
      <w:pPr>
        <w:pBdr>
          <w:top w:val="nil"/>
          <w:left w:val="nil"/>
          <w:bottom w:val="nil"/>
          <w:right w:val="nil"/>
          <w:between w:val="nil"/>
        </w:pBdr>
        <w:rPr>
          <w:rFonts w:ascii="Arial" w:eastAsia="Arial" w:hAnsi="Arial" w:cs="Arial"/>
          <w:b/>
          <w:color w:val="000000"/>
          <w:sz w:val="24"/>
          <w:szCs w:val="24"/>
        </w:rPr>
      </w:pPr>
      <w:r>
        <w:rPr>
          <w:rFonts w:ascii="Arial" w:eastAsia="Arial" w:hAnsi="Arial" w:cs="Arial"/>
          <w:b/>
          <w:color w:val="000000"/>
          <w:sz w:val="24"/>
          <w:szCs w:val="24"/>
        </w:rPr>
        <w:t>Baseline security requirements</w:t>
      </w:r>
    </w:p>
    <w:p w:rsidR="008A0C24" w:rsidRDefault="003F65FA">
      <w:p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sz w:val="24"/>
          <w:szCs w:val="24"/>
        </w:rPr>
        <w:t xml:space="preserve">     </w:t>
      </w:r>
    </w:p>
    <w:p w:rsidR="008A0C24" w:rsidRDefault="003F65FA">
      <w:pPr>
        <w:keepNext/>
        <w:numPr>
          <w:ilvl w:val="0"/>
          <w:numId w:val="4"/>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color w:val="000000"/>
          <w:sz w:val="24"/>
          <w:szCs w:val="24"/>
        </w:rPr>
        <w:t>Handling Classified information</w:t>
      </w:r>
    </w:p>
    <w:p w:rsidR="008A0C24" w:rsidRDefault="003F65FA">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Agency shall not handle Client information classified SECRET or TOP SECRET except if there is a specific requirement and in this case prior to receipt of such information the Agency shall seek additional specific guidance from the Client.</w:t>
      </w:r>
    </w:p>
    <w:p w:rsidR="008A0C24" w:rsidRDefault="003F65FA">
      <w:pPr>
        <w:keepNext/>
        <w:numPr>
          <w:ilvl w:val="0"/>
          <w:numId w:val="4"/>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color w:val="000000"/>
          <w:sz w:val="24"/>
          <w:szCs w:val="24"/>
        </w:rPr>
        <w:t>End user devices</w:t>
      </w:r>
    </w:p>
    <w:p w:rsidR="008A0C24" w:rsidRDefault="003F65FA">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8A0C24" w:rsidRDefault="003F65FA">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Devices used to access or manage Government Data and services must be under the management authority of Client or Agency and have a minimum set of security policy configuration enforced. These devices must be placed into a ‘known good’ state prior to being provisioned into the management authority of the Client. Unless otherwise agreed with the Client in writing, all Agency devices are expected to meet the set of security requirements set out in the End User Devices Security Guidance (</w:t>
      </w:r>
      <w:hyperlink r:id="rId8">
        <w:r>
          <w:rPr>
            <w:rFonts w:ascii="Arial" w:eastAsia="Arial" w:hAnsi="Arial" w:cs="Arial"/>
            <w:color w:val="0000FF"/>
            <w:sz w:val="24"/>
            <w:szCs w:val="24"/>
            <w:u w:val="single"/>
          </w:rPr>
          <w:t>https://www.ncsc.gov.uk/guidance/end-user-device-security</w:t>
        </w:r>
      </w:hyperlink>
      <w:r>
        <w:rPr>
          <w:rFonts w:ascii="Arial" w:eastAsia="Arial" w:hAnsi="Arial" w:cs="Arial"/>
          <w:color w:val="000000"/>
          <w:sz w:val="24"/>
          <w:szCs w:val="24"/>
        </w:rPr>
        <w:t>). Where the guidance highlights shortcomings in a particular platform the Agency may wish to use, then these should be discussed with the Client and a joint decision shall be taken on whether the residual risks are acceptable. Where the Agency wishes to deviate from the NCSC guidance, then this should be agreed in writing on a case by case basis with the Client.</w:t>
      </w:r>
    </w:p>
    <w:p w:rsidR="008A0C24" w:rsidRDefault="003F65FA">
      <w:pPr>
        <w:keepNext/>
        <w:numPr>
          <w:ilvl w:val="0"/>
          <w:numId w:val="4"/>
        </w:numPr>
        <w:pBdr>
          <w:top w:val="nil"/>
          <w:left w:val="nil"/>
          <w:bottom w:val="nil"/>
          <w:right w:val="nil"/>
          <w:between w:val="nil"/>
        </w:pBdr>
        <w:tabs>
          <w:tab w:val="left" w:pos="0"/>
        </w:tabs>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Data Processing, Storage, Management and Destruction</w:t>
      </w:r>
    </w:p>
    <w:p w:rsidR="008A0C24" w:rsidRDefault="003F65FA">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Agency and Client recognise the need for the Client’s information to be safeguarded under the UK Data Protection regime or a similar regime. To that end, the Agency must be able to state to the Client the physical locations in which data may be stored, processed and managed from, and what legal and regulatory DPSs Government Data will be subject to at all times.</w:t>
      </w:r>
    </w:p>
    <w:p w:rsidR="008A0C24" w:rsidRDefault="003F65FA">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Agency shall agree any change in location of data storage, processing and administration with the Client in accordance with Clause 14 (Data protection).</w:t>
      </w:r>
    </w:p>
    <w:p w:rsidR="008A0C24" w:rsidRDefault="003F65FA">
      <w:pPr>
        <w:keepNext/>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Agency shall:</w:t>
      </w:r>
    </w:p>
    <w:p w:rsidR="008A0C24" w:rsidRDefault="003F65FA">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provide the Client with all Government Data on demand in an agreed open format;</w:t>
      </w:r>
    </w:p>
    <w:p w:rsidR="008A0C24" w:rsidRDefault="003F65FA">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lastRenderedPageBreak/>
        <w:t>have documented processes to guarantee availability of Government Data in the event of the Agency ceasing to trade;</w:t>
      </w:r>
    </w:p>
    <w:p w:rsidR="008A0C24" w:rsidRDefault="003F65FA">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securely destroy all media that has held Government Data at the end of life of that media in line with Good Industry Practice; and</w:t>
      </w:r>
    </w:p>
    <w:p w:rsidR="008A0C24" w:rsidRDefault="003F65FA">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securely erase any or all Government Data held by the Agency when requested to do so by the Client.</w:t>
      </w:r>
    </w:p>
    <w:p w:rsidR="008A0C24" w:rsidRDefault="003F65FA">
      <w:pPr>
        <w:keepNext/>
        <w:numPr>
          <w:ilvl w:val="0"/>
          <w:numId w:val="4"/>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color w:val="000000"/>
          <w:sz w:val="24"/>
          <w:szCs w:val="24"/>
        </w:rPr>
        <w:t xml:space="preserve">Ensuring secure communications </w:t>
      </w:r>
    </w:p>
    <w:p w:rsidR="008A0C24" w:rsidRDefault="003F65FA">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Client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8A0C24" w:rsidRDefault="003F65FA">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Client requires that the configuration and use of all networking equipment to provide the Services, including those that are located in secure physical locations, are at least compliant with Good Industry Practice.</w:t>
      </w:r>
    </w:p>
    <w:p w:rsidR="008A0C24" w:rsidRDefault="003F65FA">
      <w:pPr>
        <w:keepNext/>
        <w:numPr>
          <w:ilvl w:val="0"/>
          <w:numId w:val="4"/>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color w:val="000000"/>
          <w:sz w:val="24"/>
          <w:szCs w:val="24"/>
        </w:rPr>
        <w:t xml:space="preserve">Security by design </w:t>
      </w:r>
    </w:p>
    <w:p w:rsidR="008A0C24" w:rsidRDefault="003F65FA">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 xml:space="preserve">The Agency shall apply the ‘principle of least privilege’ (the practice of limiting systems, processes and user access to the minimum possible level) to the design and configuration of IT systems which will process or store Government Data. </w:t>
      </w:r>
    </w:p>
    <w:p w:rsidR="008A0C24" w:rsidRDefault="003F65FA">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When designing and configuring the ICT Environment (to the extent that the ICT Environment is within the control of the Agency) the Agency shall follow Good Industry Practice and seek guidance from recognised security professionals with the appropriate skills and/or a NCSC certification (</w:t>
      </w:r>
      <w:hyperlink r:id="rId9">
        <w:r>
          <w:rPr>
            <w:rFonts w:ascii="Arial" w:eastAsia="Arial" w:hAnsi="Arial" w:cs="Arial"/>
            <w:color w:val="0563C1"/>
            <w:sz w:val="24"/>
            <w:szCs w:val="24"/>
            <w:u w:val="single"/>
          </w:rPr>
          <w:t>https://www.ncsc.gov.uk/section/products-services/ncsc-certification</w:t>
        </w:r>
      </w:hyperlink>
      <w:r>
        <w:rPr>
          <w:rFonts w:ascii="Arial" w:eastAsia="Arial" w:hAnsi="Arial" w:cs="Arial"/>
          <w:color w:val="000000"/>
          <w:sz w:val="24"/>
          <w:szCs w:val="24"/>
        </w:rPr>
        <w:t xml:space="preserve">) for all bespoke or complex components of the ICT Environment (to the extent that the ICT Environment is within the control of the Agency). </w:t>
      </w:r>
    </w:p>
    <w:p w:rsidR="008A0C24" w:rsidRDefault="003F65FA">
      <w:pPr>
        <w:keepNext/>
        <w:numPr>
          <w:ilvl w:val="0"/>
          <w:numId w:val="4"/>
        </w:numPr>
        <w:pBdr>
          <w:top w:val="nil"/>
          <w:left w:val="nil"/>
          <w:bottom w:val="nil"/>
          <w:right w:val="nil"/>
          <w:between w:val="nil"/>
        </w:pBdr>
        <w:tabs>
          <w:tab w:val="left" w:pos="0"/>
        </w:tabs>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Security of Agency Staff </w:t>
      </w:r>
    </w:p>
    <w:p w:rsidR="008A0C24" w:rsidRDefault="003F65FA">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Agency Staff shall be subject to pre-employment checks that include, as a minimum: identity, unspent criminal convictions and right to work.</w:t>
      </w:r>
    </w:p>
    <w:p w:rsidR="008A0C24" w:rsidRDefault="003F65FA">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 xml:space="preserve">The Agency shall agree on a case by case basis Agency Staff roles which require specific government clearances (such as ‘SC’) including system administrators with privileged access to IT systems which store or process Government Data. </w:t>
      </w:r>
    </w:p>
    <w:p w:rsidR="008A0C24" w:rsidRDefault="003F65FA">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Agency shall prevent Agency Staff who are unable to obtain the required security clearances from accessing systems which store, process, or are used to manage Government Data except where agreed with the Client in writing.</w:t>
      </w:r>
    </w:p>
    <w:p w:rsidR="008A0C24" w:rsidRDefault="003F65FA">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All Agency Staff that have the ability to access Government Data or systems holding Government Data shall undergo regular training on secure information management principles. Unless otherwise agreed with the Client in writing, this training must be undertaken annually.</w:t>
      </w:r>
    </w:p>
    <w:p w:rsidR="008A0C24" w:rsidRDefault="003F65FA">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lastRenderedPageBreak/>
        <w:t>Where the Agency or Subcontractors grants increased ICT privileges or access rights to Agency Staff, those Agency Staff shall be granted only those permissions necessary for them to carry out their duties. When staff no longer need elevated privileges or leave the organisation, their access rights shall be revoked within one (1) Working Day.</w:t>
      </w:r>
    </w:p>
    <w:p w:rsidR="008A0C24" w:rsidRDefault="003F65FA">
      <w:pPr>
        <w:keepNext/>
        <w:numPr>
          <w:ilvl w:val="0"/>
          <w:numId w:val="4"/>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color w:val="000000"/>
          <w:sz w:val="24"/>
          <w:szCs w:val="24"/>
        </w:rPr>
        <w:t xml:space="preserve">Restricting and monitoring access </w:t>
      </w:r>
    </w:p>
    <w:p w:rsidR="008A0C24" w:rsidRDefault="003F65FA">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 xml:space="preserve">The Agency shall operate an access control regime to ensure all users and administrators of the ICT Environment (to the extent that the ICT Environment is within the control of the Agency) are uniquely identified and authenticated when accessing or administering the Services. Applying the ‘principle of least privilege’, users and administrators shall be allowed access only to those parts of the ICT Environment that they require. The Agency shall retain an audit record of accesses. </w:t>
      </w:r>
    </w:p>
    <w:p w:rsidR="008A0C24" w:rsidRDefault="003F65FA">
      <w:pPr>
        <w:keepNext/>
        <w:numPr>
          <w:ilvl w:val="0"/>
          <w:numId w:val="4"/>
        </w:numPr>
        <w:pBdr>
          <w:top w:val="nil"/>
          <w:left w:val="nil"/>
          <w:bottom w:val="nil"/>
          <w:right w:val="nil"/>
          <w:between w:val="nil"/>
        </w:pBdr>
        <w:tabs>
          <w:tab w:val="left" w:pos="0"/>
        </w:tabs>
        <w:spacing w:before="240" w:after="240" w:line="240" w:lineRule="auto"/>
        <w:rPr>
          <w:rFonts w:ascii="Arial" w:eastAsia="Arial" w:hAnsi="Arial" w:cs="Arial"/>
          <w:b/>
          <w:color w:val="000000"/>
          <w:sz w:val="24"/>
          <w:szCs w:val="24"/>
        </w:rPr>
      </w:pPr>
      <w:bookmarkStart w:id="3" w:name="_heading=h.1664s55" w:colFirst="0" w:colLast="0"/>
      <w:bookmarkEnd w:id="3"/>
      <w:r>
        <w:rPr>
          <w:rFonts w:ascii="Arial" w:eastAsia="Arial" w:hAnsi="Arial" w:cs="Arial"/>
          <w:b/>
          <w:color w:val="000000"/>
          <w:sz w:val="24"/>
          <w:szCs w:val="24"/>
        </w:rPr>
        <w:t xml:space="preserve">Audit </w:t>
      </w:r>
    </w:p>
    <w:p w:rsidR="008A0C24" w:rsidRDefault="003F65FA">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Agency shall collect audit records which relate to security events in the systems or that would support the analysis of potential and actual compromises. In order to facilitate effective monitoring and forensic readiness such Agency audit records should (as a minimum) include:</w:t>
      </w:r>
    </w:p>
    <w:p w:rsidR="008A0C24" w:rsidRDefault="003F65FA">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Logs to facilitate the identification of the specific asset which makes every outbound request external to the ICT Environment (to the extent that the ICT Environment is within the control of the Agency). To the extent the design of the Goods or Services allows such logs shall include those from DHCP servers, HTTP/HTTPS proxy servers, firewalls and routers. </w:t>
      </w:r>
    </w:p>
    <w:p w:rsidR="008A0C24" w:rsidRDefault="003F65FA">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Security events generated in the ICT Environment (to the extent that the ICT Environment is within the control of the Agency) and shall include: privileged account log-on and log-off events, the start and termination of remote access sessions, security alerts from desktops and server operating systems and security alerts from third party security software.</w:t>
      </w:r>
    </w:p>
    <w:p w:rsidR="008A0C24" w:rsidRDefault="003F65FA">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 xml:space="preserve">The Agency and the Client shall work together to establish any additional audit and monitoring requirements for the ICT Environment. </w:t>
      </w:r>
    </w:p>
    <w:p w:rsidR="008A0C24" w:rsidRDefault="003F65FA">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Agency shall retain audit records collected in compliance with this Paragraph 8 for a period of at least 6 Months.</w:t>
      </w:r>
    </w:p>
    <w:p w:rsidR="008A0C24" w:rsidRDefault="003F65FA">
      <w:pPr>
        <w:pBdr>
          <w:top w:val="nil"/>
          <w:left w:val="nil"/>
          <w:bottom w:val="nil"/>
          <w:right w:val="nil"/>
          <w:between w:val="nil"/>
        </w:pBdr>
        <w:rPr>
          <w:rFonts w:ascii="Arial" w:eastAsia="Arial" w:hAnsi="Arial" w:cs="Arial"/>
          <w:b/>
          <w:color w:val="000000"/>
          <w:sz w:val="24"/>
          <w:szCs w:val="24"/>
        </w:rPr>
      </w:pPr>
      <w:r>
        <w:br w:type="page"/>
      </w:r>
      <w:r>
        <w:rPr>
          <w:rFonts w:ascii="Arial" w:eastAsia="Arial" w:hAnsi="Arial" w:cs="Arial"/>
          <w:b/>
          <w:color w:val="000000"/>
          <w:sz w:val="24"/>
          <w:szCs w:val="24"/>
        </w:rPr>
        <w:lastRenderedPageBreak/>
        <w:t>Part B – Annex 2 - Security Management Plan</w:t>
      </w:r>
    </w:p>
    <w:p w:rsidR="008A0C24" w:rsidRDefault="008A0C24">
      <w:pPr>
        <w:pBdr>
          <w:top w:val="nil"/>
          <w:left w:val="nil"/>
          <w:bottom w:val="nil"/>
          <w:right w:val="nil"/>
          <w:between w:val="nil"/>
        </w:pBdr>
        <w:spacing w:after="0"/>
        <w:rPr>
          <w:rFonts w:ascii="Arial" w:eastAsia="Arial" w:hAnsi="Arial" w:cs="Arial"/>
          <w:color w:val="000000"/>
          <w:sz w:val="24"/>
          <w:szCs w:val="24"/>
          <w:highlight w:val="yellow"/>
        </w:rPr>
      </w:pPr>
    </w:p>
    <w:p w:rsidR="008A0C24" w:rsidRDefault="003F65FA">
      <w:p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highlight w:val="yellow"/>
        </w:rPr>
        <w:t>[                ]</w:t>
      </w:r>
    </w:p>
    <w:p w:rsidR="008A0C24" w:rsidRDefault="008A0C24">
      <w:pPr>
        <w:pBdr>
          <w:top w:val="nil"/>
          <w:left w:val="nil"/>
          <w:bottom w:val="nil"/>
          <w:right w:val="nil"/>
          <w:between w:val="nil"/>
        </w:pBdr>
        <w:spacing w:after="0"/>
        <w:rPr>
          <w:rFonts w:ascii="Arial" w:eastAsia="Arial" w:hAnsi="Arial" w:cs="Arial"/>
          <w:color w:val="000000"/>
          <w:sz w:val="24"/>
          <w:szCs w:val="24"/>
        </w:rPr>
      </w:pPr>
    </w:p>
    <w:p w:rsidR="008A0C24" w:rsidRDefault="003F65FA">
      <w:p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sz w:val="24"/>
          <w:szCs w:val="24"/>
        </w:rPr>
        <w:t xml:space="preserve">     </w:t>
      </w:r>
    </w:p>
    <w:p w:rsidR="008A0C24" w:rsidRDefault="003F65FA">
      <w:p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sz w:val="24"/>
          <w:szCs w:val="24"/>
        </w:rPr>
        <w:t xml:space="preserve">     </w:t>
      </w:r>
    </w:p>
    <w:p w:rsidR="008A0C24" w:rsidRDefault="008A0C24">
      <w:pPr>
        <w:rPr>
          <w:rFonts w:ascii="Arial" w:eastAsia="Arial" w:hAnsi="Arial" w:cs="Arial"/>
          <w:sz w:val="24"/>
          <w:szCs w:val="24"/>
        </w:rPr>
      </w:pPr>
    </w:p>
    <w:p w:rsidR="008A0C24" w:rsidRDefault="008A0C24">
      <w:pPr>
        <w:spacing w:after="200" w:line="276" w:lineRule="auto"/>
        <w:ind w:left="720" w:hanging="720"/>
        <w:rPr>
          <w:rFonts w:ascii="Arial" w:eastAsia="Arial" w:hAnsi="Arial" w:cs="Arial"/>
          <w:sz w:val="24"/>
          <w:szCs w:val="24"/>
        </w:rPr>
      </w:pPr>
    </w:p>
    <w:p w:rsidR="008A0C24" w:rsidRDefault="008A0C24">
      <w:pPr>
        <w:spacing w:after="200" w:line="276" w:lineRule="auto"/>
        <w:rPr>
          <w:rFonts w:ascii="Arial" w:eastAsia="Arial" w:hAnsi="Arial" w:cs="Arial"/>
          <w:sz w:val="24"/>
          <w:szCs w:val="24"/>
        </w:rPr>
      </w:pPr>
    </w:p>
    <w:p w:rsidR="008A0C24" w:rsidRDefault="008A0C24">
      <w:pPr>
        <w:rPr>
          <w:rFonts w:ascii="Arial" w:eastAsia="Arial" w:hAnsi="Arial" w:cs="Arial"/>
          <w:sz w:val="24"/>
          <w:szCs w:val="24"/>
        </w:rPr>
      </w:pPr>
    </w:p>
    <w:p w:rsidR="008A0C24" w:rsidRDefault="008A0C24">
      <w:pPr>
        <w:pBdr>
          <w:top w:val="nil"/>
          <w:left w:val="nil"/>
          <w:bottom w:val="nil"/>
          <w:right w:val="nil"/>
          <w:between w:val="nil"/>
        </w:pBdr>
        <w:tabs>
          <w:tab w:val="left" w:pos="0"/>
        </w:tabs>
        <w:spacing w:before="240" w:after="240" w:line="240" w:lineRule="auto"/>
        <w:ind w:left="426" w:hanging="426"/>
        <w:rPr>
          <w:rFonts w:ascii="Arial" w:eastAsia="Arial" w:hAnsi="Arial" w:cs="Arial"/>
          <w:b/>
          <w:color w:val="000000"/>
          <w:sz w:val="24"/>
          <w:szCs w:val="24"/>
        </w:rPr>
      </w:pPr>
    </w:p>
    <w:p w:rsidR="008A0C24" w:rsidRDefault="008A0C24">
      <w:pPr>
        <w:rPr>
          <w:sz w:val="24"/>
          <w:szCs w:val="24"/>
        </w:rPr>
      </w:pPr>
    </w:p>
    <w:sectPr w:rsidR="008A0C24">
      <w:headerReference w:type="default" r:id="rId10"/>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207B" w:rsidRDefault="0055207B">
      <w:pPr>
        <w:spacing w:after="0" w:line="240" w:lineRule="auto"/>
      </w:pPr>
      <w:r>
        <w:separator/>
      </w:r>
    </w:p>
  </w:endnote>
  <w:endnote w:type="continuationSeparator" w:id="0">
    <w:p w:rsidR="0055207B" w:rsidRDefault="00552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0C24" w:rsidRDefault="003F65FA">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rsidR="008A0C24" w:rsidRDefault="003F65FA">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207B" w:rsidRDefault="0055207B">
      <w:pPr>
        <w:spacing w:after="0" w:line="240" w:lineRule="auto"/>
      </w:pPr>
      <w:r>
        <w:separator/>
      </w:r>
    </w:p>
  </w:footnote>
  <w:footnote w:type="continuationSeparator" w:id="0">
    <w:p w:rsidR="0055207B" w:rsidRDefault="005520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0C24" w:rsidRDefault="003F65FA">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9 (Security)</w:t>
    </w:r>
  </w:p>
  <w:p w:rsidR="008A0C24" w:rsidRDefault="003F65FA">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r w:rsidR="007260B4">
      <w:rPr>
        <w:rFonts w:ascii="Arial" w:eastAsia="Arial" w:hAnsi="Arial" w:cs="Arial"/>
        <w:sz w:val="20"/>
        <w:szCs w:val="20"/>
      </w:rPr>
      <w:t xml:space="preserve">: </w:t>
    </w:r>
    <w:r w:rsidR="007260B4" w:rsidRPr="007260B4">
      <w:rPr>
        <w:rFonts w:ascii="Arial" w:hAnsi="Arial" w:cs="Arial"/>
        <w:color w:val="181818"/>
        <w:sz w:val="21"/>
        <w:szCs w:val="21"/>
        <w:shd w:val="clear" w:color="auto" w:fill="FFFFFF"/>
      </w:rPr>
      <w:t>CCCS22A10</w:t>
    </w:r>
    <w:r w:rsidR="007260B4" w:rsidRPr="007260B4">
      <w:rPr>
        <w:rFonts w:ascii="Arial" w:hAnsi="Arial" w:cs="Arial"/>
        <w:color w:val="181818"/>
        <w:sz w:val="21"/>
        <w:szCs w:val="21"/>
        <w:shd w:val="clear" w:color="auto" w:fill="FFFFFF"/>
      </w:rPr>
      <w:t xml:space="preserve"> </w:t>
    </w:r>
  </w:p>
  <w:p w:rsidR="008A0C24" w:rsidRDefault="003F65FA">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722F5E"/>
    <w:multiLevelType w:val="multilevel"/>
    <w:tmpl w:val="BDD8B5A8"/>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Calibri" w:eastAsia="Calibri" w:hAnsi="Calibri" w:cs="Calibri"/>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33B97FAE"/>
    <w:multiLevelType w:val="multilevel"/>
    <w:tmpl w:val="F2F423A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76F41A5"/>
    <w:multiLevelType w:val="multilevel"/>
    <w:tmpl w:val="21CE30FE"/>
    <w:lvl w:ilvl="0">
      <w:start w:val="1"/>
      <w:numFmt w:val="decimal"/>
      <w:pStyle w:val="ORDERFORML1PraraNo"/>
      <w:lvlText w:val="%1."/>
      <w:lvlJc w:val="left"/>
      <w:pPr>
        <w:ind w:left="360" w:hanging="360"/>
      </w:pPr>
      <w:rPr>
        <w:smallCaps w:val="0"/>
        <w:strike w:val="0"/>
        <w:color w:val="000000"/>
        <w:u w:val="none"/>
        <w:vertAlign w:val="baseline"/>
      </w:rPr>
    </w:lvl>
    <w:lvl w:ilvl="1">
      <w:start w:val="1"/>
      <w:numFmt w:val="decimal"/>
      <w:pStyle w:val="ORDERFORML2Title"/>
      <w:lvlText w:val="%1.%2"/>
      <w:lvlJc w:val="left"/>
      <w:pPr>
        <w:ind w:left="644" w:hanging="357"/>
      </w:pPr>
      <w:rPr>
        <w:rFonts w:ascii="Calibri" w:eastAsia="Calibri" w:hAnsi="Calibri" w:cs="Calibri"/>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67AB4F97"/>
    <w:multiLevelType w:val="multilevel"/>
    <w:tmpl w:val="38068F86"/>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7815B25"/>
    <w:multiLevelType w:val="multilevel"/>
    <w:tmpl w:val="BDAAC36A"/>
    <w:lvl w:ilvl="0">
      <w:start w:val="1"/>
      <w:numFmt w:val="decimal"/>
      <w:pStyle w:val="FFWDefinitionLevel1"/>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C24"/>
    <w:rsid w:val="00340E4F"/>
    <w:rsid w:val="003D090A"/>
    <w:rsid w:val="003F65FA"/>
    <w:rsid w:val="0055207B"/>
    <w:rsid w:val="006C5940"/>
    <w:rsid w:val="007260B4"/>
    <w:rsid w:val="00752A8E"/>
    <w:rsid w:val="008A0C24"/>
    <w:rsid w:val="00A63A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1F1B7"/>
  <w15:docId w15:val="{552871AD-43FB-48E0-8FCA-3AB4F870A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3840"/>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2GuidanceNumbered">
    <w:name w:val="GPS L2 Guidance Numbered"/>
    <w:basedOn w:val="Normal"/>
    <w:qFormat/>
    <w:rsid w:val="00203840"/>
    <w:pPr>
      <w:numPr>
        <w:numId w:val="1"/>
      </w:numPr>
      <w:tabs>
        <w:tab w:val="left" w:pos="1418"/>
      </w:tabs>
      <w:adjustRightInd w:val="0"/>
      <w:spacing w:before="120" w:after="120" w:line="240" w:lineRule="auto"/>
      <w:jc w:val="both"/>
    </w:pPr>
    <w:rPr>
      <w:rFonts w:ascii="Arial" w:eastAsia="Times New Roman" w:hAnsi="Arial" w:cs="Arial"/>
      <w:b/>
      <w:i/>
      <w:lang w:eastAsia="zh-CN"/>
    </w:rPr>
  </w:style>
  <w:style w:type="paragraph" w:customStyle="1" w:styleId="ORDERFORML1PraraNo">
    <w:name w:val="ORDER FORM L1 Prara No"/>
    <w:basedOn w:val="Normal"/>
    <w:qFormat/>
    <w:rsid w:val="00203840"/>
    <w:pPr>
      <w:numPr>
        <w:numId w:val="2"/>
      </w:numPr>
      <w:adjustRightInd w:val="0"/>
      <w:spacing w:after="0" w:line="240" w:lineRule="auto"/>
      <w:jc w:val="both"/>
    </w:pPr>
    <w:rPr>
      <w:rFonts w:eastAsia="STZhongsong" w:cs="Times New Roman"/>
      <w:b/>
      <w:caps/>
      <w:lang w:eastAsia="zh-CN"/>
    </w:rPr>
  </w:style>
  <w:style w:type="paragraph" w:customStyle="1" w:styleId="ORDERFORML2Title">
    <w:name w:val="ORDER FORM L2 Title"/>
    <w:basedOn w:val="Normal"/>
    <w:qFormat/>
    <w:rsid w:val="00203840"/>
    <w:pPr>
      <w:numPr>
        <w:ilvl w:val="1"/>
        <w:numId w:val="2"/>
      </w:numPr>
      <w:adjustRightInd w:val="0"/>
      <w:spacing w:after="120" w:line="240" w:lineRule="auto"/>
      <w:ind w:left="993" w:hanging="567"/>
      <w:jc w:val="both"/>
    </w:pPr>
    <w:rPr>
      <w:rFonts w:ascii="Arial" w:eastAsia="STZhongsong" w:hAnsi="Arial" w:cs="Times New Roman"/>
      <w:b/>
      <w:lang w:eastAsia="zh-CN"/>
    </w:rPr>
  </w:style>
  <w:style w:type="paragraph" w:customStyle="1" w:styleId="FFWDefinitionLevel1">
    <w:name w:val="FFW Definition Level 1"/>
    <w:basedOn w:val="Normal"/>
    <w:locked/>
    <w:rsid w:val="00203840"/>
    <w:pPr>
      <w:numPr>
        <w:numId w:val="3"/>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rPr>
  </w:style>
  <w:style w:type="table" w:customStyle="1" w:styleId="16">
    <w:name w:val="16"/>
    <w:basedOn w:val="TableNormal"/>
    <w:rsid w:val="00203840"/>
    <w:pPr>
      <w:spacing w:after="0" w:line="240" w:lineRule="auto"/>
      <w:ind w:left="360" w:hanging="360"/>
    </w:pPr>
    <w:rPr>
      <w:sz w:val="20"/>
      <w:szCs w:val="20"/>
    </w:rPr>
    <w:tblPr>
      <w:tblStyleRowBandSize w:val="1"/>
      <w:tblStyleColBandSize w:val="1"/>
      <w:tblCellMar>
        <w:left w:w="115" w:type="dxa"/>
        <w:right w:w="115" w:type="dxa"/>
      </w:tblCellMar>
    </w:tblPr>
  </w:style>
  <w:style w:type="table" w:customStyle="1" w:styleId="15">
    <w:name w:val="15"/>
    <w:basedOn w:val="TableNormal"/>
    <w:rsid w:val="00203840"/>
    <w:pPr>
      <w:spacing w:after="0" w:line="240" w:lineRule="auto"/>
      <w:ind w:left="360" w:hanging="360"/>
    </w:pPr>
    <w:rPr>
      <w:sz w:val="20"/>
      <w:szCs w:val="20"/>
    </w:rPr>
    <w:tblPr>
      <w:tblStyleRowBandSize w:val="1"/>
      <w:tblStyleColBandSize w:val="1"/>
      <w:tblCellMar>
        <w:left w:w="115" w:type="dxa"/>
        <w:right w:w="115"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ind w:left="360" w:hanging="360"/>
    </w:pPr>
    <w:rPr>
      <w:sz w:val="20"/>
      <w:szCs w:val="20"/>
    </w:rPr>
    <w:tblPr>
      <w:tblStyleRowBandSize w:val="1"/>
      <w:tblStyleColBandSize w:val="1"/>
      <w:tblCellMar>
        <w:left w:w="115" w:type="dxa"/>
        <w:right w:w="115" w:type="dxa"/>
      </w:tblCellMar>
    </w:tblPr>
  </w:style>
  <w:style w:type="table" w:customStyle="1" w:styleId="a0">
    <w:basedOn w:val="TableNormal"/>
    <w:pPr>
      <w:spacing w:after="0" w:line="240" w:lineRule="auto"/>
      <w:ind w:left="360" w:hanging="360"/>
    </w:pPr>
    <w:rPr>
      <w:sz w:val="20"/>
      <w:szCs w:val="20"/>
    </w:rPr>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7260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60B4"/>
  </w:style>
  <w:style w:type="paragraph" w:styleId="Footer">
    <w:name w:val="footer"/>
    <w:basedOn w:val="Normal"/>
    <w:link w:val="FooterChar"/>
    <w:uiPriority w:val="99"/>
    <w:unhideWhenUsed/>
    <w:rsid w:val="007260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60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ncsc.gov.uk/guidance/end-user-device-securit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ncsc.gov.uk/section/products-services/ncsc-certifi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3eJ70Ll/LPAoOEfavmJcJ/hXqJA==">AMUW2mVf4IX5WChqEoPTgYSI/tuDHxrC07ug2Q84M1cWDLpGHn6BJ+0dM9ZoOCPllvNdHolcx1zxps94kwK/+BV116cG0+iRJOdCe8Q1hBZlFk3Hab2YZh7suzAA0/kytuEQBTs46xtkIop00N8pxmGXTfqnNRs+VU6V69l1YqEfdsQ0+Z+UpyE3qOCxNY0VIkIHYPSkO9ajewdoL1yK7XEgCpKqKXqSvk1cQxe3u0XsXmxG1Ui2AdS+pNTG5Gr62IrMOKXIS9ccqnyMUQ0E+zM95WxTRS8IONuGQZZS659cOB9tdDWLeZRdBuJwkCfWdI20D1ixnC5mpxBQvifd+g/J9MhcBUyA7DDWHBSo0tLhXCT+xkgTaGZDqKaGHQ1WtRgSbHFVNlY0zanxGZt5lgFd7NVGeAMbjgms+VyxY1Cm6LTnMXrDD8lY9tZ4/JmJCzXIDUc7M6n/2sRbREXYsCV3AIwK8wmqp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9</Pages>
  <Words>2805</Words>
  <Characters>15995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Christine Connolly</cp:lastModifiedBy>
  <cp:revision>4</cp:revision>
  <dcterms:created xsi:type="dcterms:W3CDTF">2021-07-15T11:31:00Z</dcterms:created>
  <dcterms:modified xsi:type="dcterms:W3CDTF">2023-05-10T18:23:00Z</dcterms:modified>
</cp:coreProperties>
</file>